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14 272 vom 2. September 2014</w:t>
      </w:r>
    </w:p>
    <w:p>
      <w:r>
        <w:t>BL Gerichte, 2014-09-02, DE</w:t>
      </w:r>
    </w:p>
    <w:p>
      <w:r>
        <w:rPr>
          <w:b/>
        </w:rPr>
        <w:t xml:space="preserve">Quelle: </w:t>
      </w:r>
      <w:r>
        <w:t>https://mcp.opencaselaw.ch/entscheid/bl_gerichte_810 14 272</w:t>
      </w:r>
    </w:p>
    <w:p>
      <w:r>
        <w:t>FR: BL_GERICHTE 810 14 272 du 2 septembre 2014</w:t>
      </w:r>
    </w:p>
    <w:p>
      <w:r>
        <w:t>IT: BL_GERICHTE 810 14 272 del 2 settembre 2014</w:t>
      </w:r>
    </w:p>
    <w:p>
      <w:pPr>
        <w:pStyle w:val="Heading2"/>
      </w:pPr>
      <w:r>
        <w:t>Regeste</w:t>
      </w:r>
    </w:p>
    <w:p>
      <w:r>
        <w:t>Arbeitsvergabe; Einsammeln und Transportieren von Kehricht (inkl. Grobsperrgut) in der Gemeinde B.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Beigeladenen werden Verfahrenskosten in der Höhe von Fr. 600.--auferlegt.</w:t>
      </w:r>
    </w:p>
    <w:p>
      <w:r>
        <w:rPr>
          <w:b/>
        </w:rPr>
        <w:t>E. 3</w:t>
      </w:r>
    </w:p>
    <w:p>
      <w:r>
        <w:t>Der Beschwerdeführerin wird eine Parteientschädigung in der Höhe von Fr. 5'342.05 (inkl. Auslagen und 8 % MWSt) zugesprochen, welche zu zwei Dritteln, d.h. im Umfang von Fr. 3'561.35, der Beschwerdegegnerin und zu einem Drittel, d.h. im Umfang von Fr. 1'780.70, der Beigeladenen auferlegt wird. Präsidentin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